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207</w:t>
      </w:r>
      <w:r>
        <w:rPr>
          <w:rFonts w:ascii="Times New Roman" w:eastAsia="Times New Roman" w:hAnsi="Times New Roman" w:cs="Times New Roman"/>
          <w:sz w:val="26"/>
          <w:szCs w:val="26"/>
        </w:rPr>
        <w:t>-2610/20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Рустема </w:t>
      </w:r>
      <w:r>
        <w:rPr>
          <w:rFonts w:ascii="Times New Roman" w:eastAsia="Times New Roman" w:hAnsi="Times New Roman" w:cs="Times New Roman"/>
          <w:sz w:val="27"/>
          <w:szCs w:val="27"/>
        </w:rPr>
        <w:t>Рафаильевича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информационных ресурсов Инспекции, а также журнала регистрации входящей почтовой корреспонденции по состоянию на 26.04.2025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налогоплательщика </w:t>
      </w:r>
      <w:r>
        <w:rPr>
          <w:rStyle w:val="cat-OrganizationNamegrp-26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Style w:val="cat-UserDefinedgrp-37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Расчет по страховым взносам за 3 месяца 2025 года не поступал. Установленный законодательством о налогах и сборах срок представления Расчет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страховым взносам за 3 месяца 2025 года - не позднее 25.04.2025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 Расчет по страховым взносам за 3 месяца 2025 года представлен несвоевременно - 21.07.2025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Алакаев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ый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по имеющимся в материалах дела доказательствам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 протоколом № 35599 об административном правонарушении от 15.01.2026 года; копией выписки из Единого государственного реестра юридических лиц; справкой о отсутствии декларации к установленному сроку от 26.04.2025 года; информационным письмом от 10.11.2025 года; копией списка внутренних почтовых отправлений от 10.11.2025 года; уведомлением от 02.12.2025 года; копией списка внутренних почтовых отправлений от 02.12.2025 года; отчетом об отслеживании почтового отправления.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мировой судья не усматривает.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аналогичное правонарушение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от </w:t>
      </w:r>
      <w:r>
        <w:rPr>
          <w:rStyle w:val="cat-UserDefinedgrp-38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делу № </w:t>
      </w:r>
      <w:r>
        <w:rPr>
          <w:rStyle w:val="cat-UserDefinedgrp-39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Алакаеву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 наказание в виде административного штрафа в предусмотренном санкцией размере.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председателя правления </w:t>
      </w:r>
      <w:r>
        <w:rPr>
          <w:rStyle w:val="cat-OrganizationNamegrp-25rplc-3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Рустема </w:t>
      </w:r>
      <w:r>
        <w:rPr>
          <w:rFonts w:ascii="Times New Roman" w:eastAsia="Times New Roman" w:hAnsi="Times New Roman" w:cs="Times New Roman"/>
          <w:sz w:val="27"/>
          <w:szCs w:val="27"/>
        </w:rPr>
        <w:t>Рафаильевича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Style w:val="cat-Sumgrp-22rplc-4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по следующим реквизитам: получатель: УФК по Ханты-Мансийскому автономному округу-Югре </w:t>
      </w: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округа-Югры л/с 04872D08080), Банк: ОКЦ № 8 </w:t>
      </w:r>
      <w:r>
        <w:rPr>
          <w:rStyle w:val="cat-OrganizationNamegrp-27rplc-4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0412365400655002072615174.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20503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OrganizationNamegrp-26rplc-17">
    <w:name w:val="cat-OrganizationName grp-26 rplc-17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OrganizationNamegrp-25rplc-38">
    <w:name w:val="cat-OrganizationName grp-25 rplc-38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cat-OrganizationNamegrp-27rplc-41">
    <w:name w:val="cat-OrganizationName grp-27 rplc-4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B87F3-4A14-4348-BA66-92B30BFC450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